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</w:t>
            </w:r>
            <w:r w:rsidR="00CE4773">
              <w:rPr>
                <w:sz w:val="24"/>
              </w:rPr>
              <w:t>6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bookmarkEnd w:id="0"/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>Прокурор разъясняет закон: вывоз ТКО необходимо оплачивать даже за пустующие квартиры (дома)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Собственник жилого дома или части жилого дома согласно части 5 статьи 30 Жилищного кодекса РФ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Федеральный закон от 24.06.19987 № 89-ФЗ «Об отходах производства и потребления» устанавливает, что региональные операторы заключают договоры на оказание услуг по обращению с ТКО с собственниками ТКО. Договор на оказание услуг по обращению с ТКО является публичным для регионального оператора.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Определяя порядок внесения платы за жилое помещение и коммунальные услуги, часть 11 статьи 155 ЖК РФ предусматривает, что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их нормативов потребления, осуществляется с учетом </w:t>
      </w:r>
      <w:proofErr w:type="gramStart"/>
      <w:r w:rsidRPr="00CE4773">
        <w:rPr>
          <w:sz w:val="28"/>
          <w:szCs w:val="28"/>
        </w:rPr>
        <w:t>перерасчета  платежей</w:t>
      </w:r>
      <w:proofErr w:type="gramEnd"/>
      <w:r w:rsidRPr="00CE4773">
        <w:rPr>
          <w:sz w:val="28"/>
          <w:szCs w:val="28"/>
        </w:rPr>
        <w:t xml:space="preserve"> за период временного отсутствия граждан в порядке и в случаях, которые утверждаются Правительством РФ.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Предусматривая порядок перерасчета размера платы за отдельные виды коммунальных услуг за период временного отсутствия потребителей в занимаемом жилом помещении, Правила предоставления коммунальных услуг, утв. Постановлением Правительства РФ от 06.05.2011 г. № 354 в пункте 93 устанавливают открытый перечень документов, подтверждающих продолжительность периода временного отсутствия потребителя по месту постоянного жительства, которые прилагаются к заявлению о перерасчете.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Ввиду отсутствия возможности определения объема индивидуального потребления данного вида коммунальной услуги размер платы за </w:t>
      </w:r>
      <w:r w:rsidRPr="00CE4773">
        <w:rPr>
          <w:sz w:val="28"/>
          <w:szCs w:val="28"/>
        </w:rPr>
        <w:lastRenderedPageBreak/>
        <w:t xml:space="preserve">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помещении, а при отсутствии информации о таковых –с учетом количества собственников жилого помещения.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Таким образом, собственник жилого помещения обязан оплачивать услугу по обращению с ТКО, даже если в ней никто не живет.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Указанные правовые позиции Верховный суд РФ указал в своих решениях от 23 апреля 2021 г. по делу №АКПИ21-129, от 26.02.2020 г. по делу №АКПИ19-967.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</w:t>
      </w:r>
      <w:r w:rsidRPr="00CE4773">
        <w:rPr>
          <w:sz w:val="28"/>
          <w:szCs w:val="28"/>
        </w:rPr>
        <w:t xml:space="preserve">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0C" w:rsidRDefault="0030190C">
      <w:r>
        <w:separator/>
      </w:r>
    </w:p>
  </w:endnote>
  <w:endnote w:type="continuationSeparator" w:id="0">
    <w:p w:rsidR="0030190C" w:rsidRDefault="0030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0C" w:rsidRDefault="0030190C">
      <w:r>
        <w:separator/>
      </w:r>
    </w:p>
  </w:footnote>
  <w:footnote w:type="continuationSeparator" w:id="0">
    <w:p w:rsidR="0030190C" w:rsidRDefault="0030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ED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76D65"/>
  <w15:docId w15:val="{F9923A6B-B0EF-4628-9929-9D1FA5C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A3EE-32A7-4ED1-A11E-98250A5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Ерохонова Сурая Александровна</cp:lastModifiedBy>
  <cp:revision>2</cp:revision>
  <cp:lastPrinted>2016-07-20T09:48:00Z</cp:lastPrinted>
  <dcterms:created xsi:type="dcterms:W3CDTF">2021-06-15T01:56:00Z</dcterms:created>
  <dcterms:modified xsi:type="dcterms:W3CDTF">2021-06-15T01:56:00Z</dcterms:modified>
</cp:coreProperties>
</file>